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A9E0" w14:textId="77777777" w:rsidR="00E73409" w:rsidRPr="00DA3D46" w:rsidRDefault="00E73409" w:rsidP="00EC1876">
      <w:pPr>
        <w:spacing w:line="264" w:lineRule="auto"/>
        <w:rPr>
          <w:color w:val="000000" w:themeColor="text1"/>
          <w:sz w:val="21"/>
          <w:szCs w:val="21"/>
        </w:rPr>
      </w:pPr>
    </w:p>
    <w:p w14:paraId="1599CB46" w14:textId="77777777" w:rsidR="00EC1876" w:rsidRDefault="00EC1876" w:rsidP="00EC1876">
      <w:pPr>
        <w:pStyle w:val="BodyText"/>
        <w:spacing w:line="264" w:lineRule="auto"/>
        <w:ind w:left="22"/>
        <w:rPr>
          <w:color w:val="000000" w:themeColor="text1"/>
        </w:rPr>
      </w:pPr>
    </w:p>
    <w:p w14:paraId="4817E830" w14:textId="77777777" w:rsidR="00DF4919" w:rsidRDefault="00DF4919" w:rsidP="00EC1876">
      <w:pPr>
        <w:pStyle w:val="BodyText"/>
        <w:spacing w:line="264" w:lineRule="auto"/>
        <w:ind w:left="22"/>
        <w:rPr>
          <w:color w:val="000000" w:themeColor="text1"/>
        </w:rPr>
      </w:pPr>
    </w:p>
    <w:p w14:paraId="58335646" w14:textId="77777777" w:rsidR="00DF4919" w:rsidRDefault="00DF4919" w:rsidP="00EC1876">
      <w:pPr>
        <w:pStyle w:val="BodyText"/>
        <w:spacing w:line="264" w:lineRule="auto"/>
        <w:ind w:left="22"/>
        <w:rPr>
          <w:color w:val="000000" w:themeColor="text1"/>
        </w:rPr>
      </w:pPr>
      <w:r w:rsidRPr="00DF4919">
        <w:rPr>
          <w:color w:val="000000" w:themeColor="text1"/>
        </w:rPr>
        <w:t xml:space="preserve">Practice Rule 3.6.4 of the Advocates Practice Rules 2024 requires that advocates practices publish annually on their website details of any complaints received for the preceding year.  </w:t>
      </w:r>
    </w:p>
    <w:p w14:paraId="4481974B" w14:textId="77777777" w:rsidR="00DF4919" w:rsidRDefault="00DF4919" w:rsidP="00EC1876">
      <w:pPr>
        <w:pStyle w:val="BodyText"/>
        <w:spacing w:line="264" w:lineRule="auto"/>
        <w:ind w:left="22"/>
        <w:rPr>
          <w:color w:val="000000" w:themeColor="text1"/>
        </w:rPr>
      </w:pPr>
    </w:p>
    <w:tbl>
      <w:tblPr>
        <w:tblStyle w:val="TableGrid"/>
        <w:tblW w:w="0" w:type="auto"/>
        <w:tblInd w:w="22" w:type="dxa"/>
        <w:tblLook w:val="04A0" w:firstRow="1" w:lastRow="0" w:firstColumn="1" w:lastColumn="0" w:noHBand="0" w:noVBand="1"/>
      </w:tblPr>
      <w:tblGrid>
        <w:gridCol w:w="1248"/>
        <w:gridCol w:w="3384"/>
        <w:gridCol w:w="1535"/>
        <w:gridCol w:w="2737"/>
        <w:gridCol w:w="1984"/>
        <w:gridCol w:w="2835"/>
      </w:tblGrid>
      <w:tr w:rsidR="00DF4919" w:rsidRPr="00DF4919" w14:paraId="0FC8F3FE" w14:textId="77777777" w:rsidTr="00DF4919">
        <w:tc>
          <w:tcPr>
            <w:tcW w:w="1248" w:type="dxa"/>
          </w:tcPr>
          <w:p w14:paraId="3A95E63F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F4919">
              <w:rPr>
                <w:b/>
                <w:bCs/>
                <w:color w:val="000000" w:themeColor="text1"/>
                <w:sz w:val="18"/>
                <w:szCs w:val="18"/>
              </w:rPr>
              <w:t>Year of business</w:t>
            </w:r>
          </w:p>
        </w:tc>
        <w:tc>
          <w:tcPr>
            <w:tcW w:w="3384" w:type="dxa"/>
          </w:tcPr>
          <w:p w14:paraId="23AEDC19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F4919">
              <w:rPr>
                <w:b/>
                <w:bCs/>
                <w:color w:val="000000" w:themeColor="text1"/>
                <w:sz w:val="18"/>
                <w:szCs w:val="18"/>
              </w:rPr>
              <w:t>Period</w:t>
            </w:r>
          </w:p>
        </w:tc>
        <w:tc>
          <w:tcPr>
            <w:tcW w:w="1535" w:type="dxa"/>
          </w:tcPr>
          <w:p w14:paraId="063E836D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New c</w:t>
            </w:r>
            <w:r w:rsidRPr="00DF4919">
              <w:rPr>
                <w:b/>
                <w:bCs/>
                <w:color w:val="000000" w:themeColor="text1"/>
                <w:sz w:val="18"/>
                <w:szCs w:val="18"/>
              </w:rPr>
              <w:t>omplaints made</w:t>
            </w:r>
          </w:p>
        </w:tc>
        <w:tc>
          <w:tcPr>
            <w:tcW w:w="2737" w:type="dxa"/>
          </w:tcPr>
          <w:p w14:paraId="2744A5FF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F4919">
              <w:rPr>
                <w:b/>
                <w:bCs/>
                <w:color w:val="000000" w:themeColor="text1"/>
                <w:sz w:val="18"/>
                <w:szCs w:val="18"/>
              </w:rPr>
              <w:t>Complaints resolved during period</w:t>
            </w:r>
          </w:p>
        </w:tc>
        <w:tc>
          <w:tcPr>
            <w:tcW w:w="1984" w:type="dxa"/>
          </w:tcPr>
          <w:p w14:paraId="0FA0E05C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F4919">
              <w:rPr>
                <w:b/>
                <w:bCs/>
                <w:color w:val="000000" w:themeColor="text1"/>
                <w:sz w:val="18"/>
                <w:szCs w:val="18"/>
              </w:rPr>
              <w:t xml:space="preserve">Complaints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outstanding at end of period</w:t>
            </w:r>
          </w:p>
        </w:tc>
        <w:tc>
          <w:tcPr>
            <w:tcW w:w="2835" w:type="dxa"/>
          </w:tcPr>
          <w:p w14:paraId="29CBF028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Other information</w:t>
            </w:r>
          </w:p>
        </w:tc>
      </w:tr>
      <w:tr w:rsidR="00DF4919" w:rsidRPr="00DF4919" w14:paraId="54E132EE" w14:textId="77777777" w:rsidTr="00DF4919">
        <w:tc>
          <w:tcPr>
            <w:tcW w:w="1248" w:type="dxa"/>
          </w:tcPr>
          <w:p w14:paraId="2B45195D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F4919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84" w:type="dxa"/>
          </w:tcPr>
          <w:p w14:paraId="14EAC035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F4919">
              <w:rPr>
                <w:color w:val="000000" w:themeColor="text1"/>
                <w:sz w:val="18"/>
                <w:szCs w:val="18"/>
              </w:rPr>
              <w:t>1 Feb 2024 – 31 Dec 2024</w:t>
            </w:r>
          </w:p>
        </w:tc>
        <w:tc>
          <w:tcPr>
            <w:tcW w:w="1535" w:type="dxa"/>
          </w:tcPr>
          <w:p w14:paraId="0CDC664E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37" w:type="dxa"/>
          </w:tcPr>
          <w:p w14:paraId="7E4D88E3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7F896266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5490DFA9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F4919" w:rsidRPr="00DF4919" w14:paraId="04C66174" w14:textId="77777777" w:rsidTr="00DF4919">
        <w:tc>
          <w:tcPr>
            <w:tcW w:w="1248" w:type="dxa"/>
          </w:tcPr>
          <w:p w14:paraId="5E6BBAD0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F491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84" w:type="dxa"/>
          </w:tcPr>
          <w:p w14:paraId="65EA9C0C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F4919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535" w:type="dxa"/>
          </w:tcPr>
          <w:p w14:paraId="74715412" w14:textId="48F0121E" w:rsidR="00DF4919" w:rsidRPr="00DF4919" w:rsidRDefault="003C6E42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37" w:type="dxa"/>
          </w:tcPr>
          <w:p w14:paraId="3AB31CF7" w14:textId="3CF3EC8E" w:rsidR="00DF4919" w:rsidRPr="00DF4919" w:rsidRDefault="003C6E42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046B1543" w14:textId="74C6CD63" w:rsidR="00DF4919" w:rsidRPr="00DF4919" w:rsidRDefault="003C6E42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1B1B638A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F4919" w:rsidRPr="00DF4919" w14:paraId="15384791" w14:textId="77777777" w:rsidTr="00DF4919">
        <w:tc>
          <w:tcPr>
            <w:tcW w:w="1248" w:type="dxa"/>
          </w:tcPr>
          <w:p w14:paraId="49955B15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F491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84" w:type="dxa"/>
          </w:tcPr>
          <w:p w14:paraId="01D41A76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F4919"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1535" w:type="dxa"/>
          </w:tcPr>
          <w:p w14:paraId="4107CE93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7" w:type="dxa"/>
          </w:tcPr>
          <w:p w14:paraId="638CAF99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397B64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33F7A00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F4919" w:rsidRPr="00DF4919" w14:paraId="443B0C97" w14:textId="77777777" w:rsidTr="00DF4919">
        <w:tc>
          <w:tcPr>
            <w:tcW w:w="1248" w:type="dxa"/>
          </w:tcPr>
          <w:p w14:paraId="2B1E38EE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F491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384" w:type="dxa"/>
          </w:tcPr>
          <w:p w14:paraId="417ABF3A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D06F9D3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7" w:type="dxa"/>
          </w:tcPr>
          <w:p w14:paraId="2FAAE0C1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7D226E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09EB964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F4919" w:rsidRPr="00DF4919" w14:paraId="35E43279" w14:textId="77777777" w:rsidTr="00DF4919">
        <w:tc>
          <w:tcPr>
            <w:tcW w:w="1248" w:type="dxa"/>
          </w:tcPr>
          <w:p w14:paraId="285EDFD6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F491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84" w:type="dxa"/>
          </w:tcPr>
          <w:p w14:paraId="5ABDEC8F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328FF4B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7" w:type="dxa"/>
          </w:tcPr>
          <w:p w14:paraId="16D6B5D1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09D709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8B5262" w14:textId="77777777" w:rsidR="00DF4919" w:rsidRPr="00DF4919" w:rsidRDefault="00DF4919" w:rsidP="00DF4919">
            <w:pPr>
              <w:pStyle w:val="BodyText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E7120A2" w14:textId="77777777" w:rsidR="00DF4919" w:rsidRPr="00DF4919" w:rsidRDefault="00DF4919" w:rsidP="00EC1876">
      <w:pPr>
        <w:pStyle w:val="BodyText"/>
        <w:spacing w:line="264" w:lineRule="auto"/>
        <w:ind w:left="22"/>
        <w:rPr>
          <w:color w:val="000000" w:themeColor="text1"/>
          <w:sz w:val="18"/>
          <w:szCs w:val="18"/>
        </w:rPr>
      </w:pPr>
    </w:p>
    <w:sectPr w:rsidR="00DF4919" w:rsidRPr="00DF4919" w:rsidSect="00DF4919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0550" w14:textId="77777777" w:rsidR="00911251" w:rsidRDefault="00911251" w:rsidP="00EC1876">
      <w:r>
        <w:separator/>
      </w:r>
    </w:p>
  </w:endnote>
  <w:endnote w:type="continuationSeparator" w:id="0">
    <w:p w14:paraId="25948EF4" w14:textId="77777777" w:rsidR="00911251" w:rsidRDefault="00911251" w:rsidP="00EC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0EDD" w14:textId="77777777" w:rsidR="00EC1876" w:rsidRDefault="00EC1876">
    <w:pPr>
      <w:pStyle w:val="Footer"/>
      <w:jc w:val="center"/>
    </w:pPr>
  </w:p>
  <w:p w14:paraId="45C61910" w14:textId="77777777" w:rsidR="00EC1876" w:rsidRDefault="00EC1876">
    <w:pPr>
      <w:pStyle w:val="Footer"/>
      <w:jc w:val="center"/>
    </w:pPr>
  </w:p>
  <w:p w14:paraId="5BBC606A" w14:textId="77777777" w:rsidR="00EC1876" w:rsidRDefault="00EC1876" w:rsidP="00EC1876">
    <w:pPr>
      <w:spacing w:line="276" w:lineRule="auto"/>
      <w:ind w:left="23" w:right="18"/>
      <w:jc w:val="both"/>
      <w:rPr>
        <w:sz w:val="18"/>
      </w:rPr>
    </w:pPr>
    <w:r>
      <w:rPr>
        <w:sz w:val="18"/>
      </w:rPr>
      <w:t xml:space="preserve">Innova Law Limited (IoM company no. 021146v) is an incorporated advocate’s practice, regulated by the Isle of Man Law Society with its registered office and place of business at </w:t>
    </w:r>
    <w:r w:rsidR="00232424">
      <w:rPr>
        <w:sz w:val="18"/>
      </w:rPr>
      <w:t>10 Hope Street</w:t>
    </w:r>
    <w:r>
      <w:rPr>
        <w:sz w:val="18"/>
      </w:rPr>
      <w:t xml:space="preserve"> Douglas, Isle of Man, IM1 </w:t>
    </w:r>
    <w:r w:rsidR="00232424">
      <w:rPr>
        <w:sz w:val="18"/>
      </w:rPr>
      <w:t>1AQ</w:t>
    </w:r>
    <w:r>
      <w:rPr>
        <w:sz w:val="18"/>
      </w:rPr>
      <w:t xml:space="preserve"> Director: K. J. Murray.</w:t>
    </w:r>
  </w:p>
  <w:p w14:paraId="64CBA809" w14:textId="77777777" w:rsidR="00EC1876" w:rsidRDefault="00EC1876" w:rsidP="00EC1876">
    <w:pPr>
      <w:spacing w:before="162"/>
      <w:ind w:left="23"/>
      <w:jc w:val="center"/>
    </w:pPr>
    <w:r>
      <w:rPr>
        <w:sz w:val="18"/>
      </w:rPr>
      <w:t>Telephone</w:t>
    </w:r>
    <w:r>
      <w:rPr>
        <w:spacing w:val="-5"/>
        <w:sz w:val="18"/>
      </w:rPr>
      <w:t xml:space="preserve"> </w:t>
    </w:r>
    <w:r>
      <w:rPr>
        <w:sz w:val="18"/>
      </w:rPr>
      <w:t>+</w:t>
    </w:r>
    <w:r>
      <w:rPr>
        <w:spacing w:val="-5"/>
        <w:sz w:val="18"/>
      </w:rPr>
      <w:t xml:space="preserve"> </w:t>
    </w:r>
    <w:r>
      <w:rPr>
        <w:sz w:val="18"/>
      </w:rPr>
      <w:t>44</w:t>
    </w:r>
    <w:r>
      <w:rPr>
        <w:spacing w:val="-5"/>
        <w:sz w:val="18"/>
      </w:rPr>
      <w:t xml:space="preserve"> </w:t>
    </w:r>
    <w:r>
      <w:rPr>
        <w:sz w:val="18"/>
      </w:rPr>
      <w:t>1624</w:t>
    </w:r>
    <w:r>
      <w:rPr>
        <w:spacing w:val="-4"/>
        <w:sz w:val="18"/>
      </w:rPr>
      <w:t xml:space="preserve"> </w:t>
    </w:r>
    <w:r>
      <w:rPr>
        <w:sz w:val="18"/>
      </w:rPr>
      <w:t>654900</w:t>
    </w:r>
    <w:r>
      <w:rPr>
        <w:spacing w:val="27"/>
        <w:sz w:val="18"/>
      </w:rPr>
      <w:t xml:space="preserve">  </w:t>
    </w:r>
    <w:r>
      <w:rPr>
        <w:spacing w:val="27"/>
        <w:sz w:val="18"/>
      </w:rPr>
      <w:tab/>
    </w:r>
    <w:r>
      <w:rPr>
        <w:sz w:val="18"/>
      </w:rPr>
      <w:t>web:</w:t>
    </w:r>
    <w:r>
      <w:rPr>
        <w:spacing w:val="-4"/>
        <w:sz w:val="18"/>
      </w:rPr>
      <w:t xml:space="preserve"> </w:t>
    </w:r>
    <w:hyperlink r:id="rId1">
      <w:r>
        <w:rPr>
          <w:color w:val="467885"/>
          <w:spacing w:val="-2"/>
          <w:sz w:val="18"/>
          <w:u w:val="single" w:color="467885"/>
        </w:rPr>
        <w:t>www.innovalaw.im</w:t>
      </w:r>
    </w:hyperlink>
  </w:p>
  <w:p w14:paraId="73FA3FD4" w14:textId="77777777" w:rsidR="00EC1876" w:rsidRDefault="00EC1876">
    <w:pPr>
      <w:pStyle w:val="Footer"/>
      <w:jc w:val="center"/>
    </w:pPr>
  </w:p>
  <w:sdt>
    <w:sdtPr>
      <w:id w:val="-136443322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26F8AB2" w14:textId="77777777" w:rsidR="00EC1876" w:rsidRPr="00232424" w:rsidRDefault="00EC1876">
        <w:pPr>
          <w:pStyle w:val="Footer"/>
          <w:jc w:val="center"/>
          <w:rPr>
            <w:sz w:val="18"/>
            <w:szCs w:val="18"/>
          </w:rPr>
        </w:pPr>
        <w:r w:rsidRPr="00232424">
          <w:rPr>
            <w:sz w:val="18"/>
            <w:szCs w:val="18"/>
          </w:rPr>
          <w:fldChar w:fldCharType="begin"/>
        </w:r>
        <w:r w:rsidRPr="00232424">
          <w:rPr>
            <w:sz w:val="18"/>
            <w:szCs w:val="18"/>
          </w:rPr>
          <w:instrText xml:space="preserve"> PAGE   \* MERGEFORMAT </w:instrText>
        </w:r>
        <w:r w:rsidRPr="00232424">
          <w:rPr>
            <w:sz w:val="18"/>
            <w:szCs w:val="18"/>
          </w:rPr>
          <w:fldChar w:fldCharType="separate"/>
        </w:r>
        <w:r w:rsidRPr="00232424">
          <w:rPr>
            <w:noProof/>
            <w:sz w:val="18"/>
            <w:szCs w:val="18"/>
          </w:rPr>
          <w:t>2</w:t>
        </w:r>
        <w:r w:rsidRPr="00232424">
          <w:rPr>
            <w:noProof/>
            <w:sz w:val="18"/>
            <w:szCs w:val="18"/>
          </w:rPr>
          <w:fldChar w:fldCharType="end"/>
        </w:r>
      </w:p>
    </w:sdtContent>
  </w:sdt>
  <w:p w14:paraId="6C28B10B" w14:textId="77777777" w:rsidR="00EC1876" w:rsidRDefault="00EC1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DFCA" w14:textId="77777777" w:rsidR="00911251" w:rsidRDefault="00911251" w:rsidP="00EC1876">
      <w:r>
        <w:separator/>
      </w:r>
    </w:p>
  </w:footnote>
  <w:footnote w:type="continuationSeparator" w:id="0">
    <w:p w14:paraId="1EC23EB2" w14:textId="77777777" w:rsidR="00911251" w:rsidRDefault="00911251" w:rsidP="00EC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C3E3" w14:textId="77777777" w:rsidR="00EC1876" w:rsidRDefault="00EC1876" w:rsidP="00EC1876">
    <w:pPr>
      <w:pStyle w:val="Header"/>
      <w:jc w:val="right"/>
    </w:pPr>
    <w:r w:rsidRPr="002E3D56">
      <w:rPr>
        <w:noProof/>
        <w:sz w:val="21"/>
        <w:szCs w:val="21"/>
      </w:rPr>
      <w:drawing>
        <wp:inline distT="0" distB="0" distL="0" distR="0" wp14:anchorId="6974B9CB" wp14:editId="3E0890FD">
          <wp:extent cx="1845042" cy="438245"/>
          <wp:effectExtent l="0" t="0" r="0" b="0"/>
          <wp:docPr id="2" name="Image 2" descr="A black text on a white background  Description automatically generated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ack text on a white background  Description automatically generated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5042" cy="43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EDB708" w14:textId="77777777" w:rsidR="00EC1876" w:rsidRDefault="00EC1876" w:rsidP="00EC1876">
    <w:pPr>
      <w:pStyle w:val="Header"/>
      <w:jc w:val="center"/>
      <w:rPr>
        <w:b/>
        <w:bCs/>
      </w:rPr>
    </w:pPr>
  </w:p>
  <w:p w14:paraId="5B936008" w14:textId="77777777" w:rsidR="00DF4919" w:rsidRPr="00DF4919" w:rsidRDefault="00DF4919" w:rsidP="00EC1876">
    <w:pPr>
      <w:pStyle w:val="Header"/>
      <w:jc w:val="center"/>
      <w:rPr>
        <w:b/>
        <w:bCs/>
        <w:sz w:val="18"/>
        <w:szCs w:val="18"/>
      </w:rPr>
    </w:pPr>
    <w:r w:rsidRPr="00DF4919">
      <w:rPr>
        <w:b/>
        <w:bCs/>
        <w:sz w:val="18"/>
        <w:szCs w:val="18"/>
      </w:rPr>
      <w:t>COMPLAINTS REPORTING INFORMATION</w:t>
    </w:r>
  </w:p>
  <w:p w14:paraId="3FD8009A" w14:textId="77777777" w:rsidR="00EC1876" w:rsidRDefault="00EC1876" w:rsidP="00EC187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76"/>
    <w:rsid w:val="00056F09"/>
    <w:rsid w:val="00074719"/>
    <w:rsid w:val="001011A4"/>
    <w:rsid w:val="00157624"/>
    <w:rsid w:val="00164CEA"/>
    <w:rsid w:val="00165007"/>
    <w:rsid w:val="00232424"/>
    <w:rsid w:val="00261F9A"/>
    <w:rsid w:val="00293520"/>
    <w:rsid w:val="003B5EF1"/>
    <w:rsid w:val="003C6E42"/>
    <w:rsid w:val="003D2693"/>
    <w:rsid w:val="003F47D7"/>
    <w:rsid w:val="003F7362"/>
    <w:rsid w:val="004213BB"/>
    <w:rsid w:val="00491A89"/>
    <w:rsid w:val="00510542"/>
    <w:rsid w:val="005176BE"/>
    <w:rsid w:val="00560932"/>
    <w:rsid w:val="005D7898"/>
    <w:rsid w:val="006B26BC"/>
    <w:rsid w:val="006B3406"/>
    <w:rsid w:val="006C309E"/>
    <w:rsid w:val="006C69A0"/>
    <w:rsid w:val="00795400"/>
    <w:rsid w:val="007A7C54"/>
    <w:rsid w:val="007E6F07"/>
    <w:rsid w:val="008102E1"/>
    <w:rsid w:val="00821784"/>
    <w:rsid w:val="00843CB6"/>
    <w:rsid w:val="00847215"/>
    <w:rsid w:val="008651E9"/>
    <w:rsid w:val="00870129"/>
    <w:rsid w:val="008B222B"/>
    <w:rsid w:val="008C39C3"/>
    <w:rsid w:val="008F0B07"/>
    <w:rsid w:val="00911251"/>
    <w:rsid w:val="00916626"/>
    <w:rsid w:val="00923E4F"/>
    <w:rsid w:val="00926B3C"/>
    <w:rsid w:val="0094261F"/>
    <w:rsid w:val="009828CF"/>
    <w:rsid w:val="00996EF0"/>
    <w:rsid w:val="009D3E34"/>
    <w:rsid w:val="00A018B8"/>
    <w:rsid w:val="00A348B8"/>
    <w:rsid w:val="00A45FF7"/>
    <w:rsid w:val="00B22D67"/>
    <w:rsid w:val="00B85ED4"/>
    <w:rsid w:val="00B94AE8"/>
    <w:rsid w:val="00BB2D9A"/>
    <w:rsid w:val="00CB3C43"/>
    <w:rsid w:val="00D01BFE"/>
    <w:rsid w:val="00D504CD"/>
    <w:rsid w:val="00DA3D46"/>
    <w:rsid w:val="00DF4919"/>
    <w:rsid w:val="00E73409"/>
    <w:rsid w:val="00EA3D4D"/>
    <w:rsid w:val="00EC1876"/>
    <w:rsid w:val="00F03BA9"/>
    <w:rsid w:val="00F90964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86F55"/>
  <w15:chartTrackingRefBased/>
  <w15:docId w15:val="{374E4174-0999-42DE-9C6C-0DE6ACDE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4"/>
        <w:lang w:val="en-GB" w:eastAsia="en-US" w:bidi="ar-SA"/>
        <w14:ligatures w14:val="standardContextual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76"/>
    <w:pPr>
      <w:widowControl w:val="0"/>
      <w:autoSpaceDE w:val="0"/>
      <w:autoSpaceDN w:val="0"/>
      <w:spacing w:after="0" w:line="240" w:lineRule="auto"/>
    </w:pPr>
    <w:rPr>
      <w:rFonts w:eastAsia="Verdana" w:cs="Verdan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8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8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8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8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8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8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8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8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8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8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8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8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8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8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8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8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8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8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8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876"/>
  </w:style>
  <w:style w:type="paragraph" w:styleId="Footer">
    <w:name w:val="footer"/>
    <w:basedOn w:val="Normal"/>
    <w:link w:val="FooterChar"/>
    <w:uiPriority w:val="99"/>
    <w:unhideWhenUsed/>
    <w:rsid w:val="00EC18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876"/>
  </w:style>
  <w:style w:type="paragraph" w:styleId="BodyText">
    <w:name w:val="Body Text"/>
    <w:basedOn w:val="Normal"/>
    <w:link w:val="BodyTextChar"/>
    <w:uiPriority w:val="1"/>
    <w:qFormat/>
    <w:rsid w:val="00EC1876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C1876"/>
    <w:rPr>
      <w:rFonts w:eastAsia="Verdana" w:cs="Verdana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C18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valaw.i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A4279B2D0B548BEDFAE16D9E70D94" ma:contentTypeVersion="12" ma:contentTypeDescription="Create a new document." ma:contentTypeScope="" ma:versionID="0308e19ae1531622736c6a406a5efa57">
  <xsd:schema xmlns:xsd="http://www.w3.org/2001/XMLSchema" xmlns:xs="http://www.w3.org/2001/XMLSchema" xmlns:p="http://schemas.microsoft.com/office/2006/metadata/properties" xmlns:ns2="c69c616c-f480-4a7a-ba9a-a6d36266732d" xmlns:ns3="dbfed108-8d6a-4c9b-9d13-a1cd3a0a7be1" targetNamespace="http://schemas.microsoft.com/office/2006/metadata/properties" ma:root="true" ma:fieldsID="1779424b096414ac8c1ef6d7e47351e7" ns2:_="" ns3:_="">
    <xsd:import namespace="c69c616c-f480-4a7a-ba9a-a6d36266732d"/>
    <xsd:import namespace="dbfed108-8d6a-4c9b-9d13-a1cd3a0a7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c616c-f480-4a7a-ba9a-a6d362667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6bdb7c-3f79-43ed-8aea-324bb6290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d108-8d6a-4c9b-9d13-a1cd3a0a7b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87171d-c1ad-4e63-9ce4-de2eb2b2bc5b}" ma:internalName="TaxCatchAll" ma:showField="CatchAllData" ma:web="dbfed108-8d6a-4c9b-9d13-a1cd3a0a7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c616c-f480-4a7a-ba9a-a6d36266732d">
      <Terms xmlns="http://schemas.microsoft.com/office/infopath/2007/PartnerControls"/>
    </lcf76f155ced4ddcb4097134ff3c332f>
    <TaxCatchAll xmlns="dbfed108-8d6a-4c9b-9d13-a1cd3a0a7be1" xsi:nil="true"/>
  </documentManagement>
</p:properties>
</file>

<file path=customXml/itemProps1.xml><?xml version="1.0" encoding="utf-8"?>
<ds:datastoreItem xmlns:ds="http://schemas.openxmlformats.org/officeDocument/2006/customXml" ds:itemID="{44382247-C1BD-432E-91D6-F5190DC14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3F334-9028-4A62-9144-125C9A9DBCDF}"/>
</file>

<file path=customXml/itemProps3.xml><?xml version="1.0" encoding="utf-8"?>
<ds:datastoreItem xmlns:ds="http://schemas.openxmlformats.org/officeDocument/2006/customXml" ds:itemID="{11A83398-1013-407A-9D46-FC0CBB8D9E1E}">
  <ds:schemaRefs>
    <ds:schemaRef ds:uri="http://schemas.microsoft.com/office/2006/metadata/properties"/>
    <ds:schemaRef ds:uri="http://schemas.microsoft.com/office/infopath/2007/PartnerControls"/>
    <ds:schemaRef ds:uri="c69c616c-f480-4a7a-ba9a-a6d36266732d"/>
    <ds:schemaRef ds:uri="dbfed108-8d6a-4c9b-9d13-a1cd3a0a7b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Keiron Murray | Innova Law</dc:creator>
  <cp:keywords/>
  <dc:description/>
  <cp:lastModifiedBy>Keiron Murray | Innova Law</cp:lastModifiedBy>
  <cp:revision>2</cp:revision>
  <dcterms:created xsi:type="dcterms:W3CDTF">2026-01-28T15:33:00Z</dcterms:created>
  <dcterms:modified xsi:type="dcterms:W3CDTF">2026-01-28T15:33:00Z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0x0101004E1A4279B2D0B548BEDFAE16D9E70D94</vt:lpwstr>
  </property>
  <property fmtid="{D5CDD505-2E9C-101B-9397-08002B2CF9AE}" pid="3" name="MediaServiceImageTags">
    <vt:lpwstr/>
  </property>
</Properties>
</file>